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tabs>
          <w:tab w:val="left" w:pos="8505"/>
        </w:tabs>
        <w:jc w:val="both"/>
        <w:rPr>
          <w:rFonts w:ascii="Marianne" w:hAnsi="Marianne" w:cstheme="minorHAnsi"/>
        </w:rPr>
      </w:pPr>
    </w:p>
    <w:p>
      <w:pPr>
        <w:pStyle w:val="Titre2"/>
        <w:ind w:left="0" w:firstLine="0"/>
        <w:jc w:val="center"/>
      </w:pPr>
      <w:r>
        <w:t>Annexe 2 au CCP Prestations de traduction</w:t>
      </w:r>
    </w:p>
    <w:p>
      <w:pPr>
        <w:pStyle w:val="Titre2"/>
        <w:ind w:left="0" w:firstLine="0"/>
        <w:jc w:val="center"/>
      </w:pPr>
      <w:r>
        <w:t>Caractéristiques des données personnelles à protéger</w:t>
      </w:r>
    </w:p>
    <w:p>
      <w:pPr>
        <w:tabs>
          <w:tab w:val="left" w:pos="8505"/>
        </w:tabs>
        <w:jc w:val="both"/>
        <w:rPr>
          <w:rFonts w:ascii="Marianne" w:hAnsi="Marianne" w:cstheme="minorHAnsi"/>
        </w:rPr>
      </w:pP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r>
        <w:rPr>
          <w:rFonts w:ascii="Marianne" w:eastAsia="Arial" w:hAnsi="Marianne" w:cs="Arial"/>
          <w:sz w:val="20"/>
          <w:szCs w:val="20"/>
          <w:lang w:eastAsia="ja-JP"/>
        </w:rPr>
        <w:t xml:space="preserve">Le traitement ainsi réalisé par les titulaires du marché, pour le compte du MEFSIN, répond aux caractéristiques suivantes : </w:t>
      </w:r>
    </w:p>
    <w:p>
      <w:pPr>
        <w:rPr>
          <w:rFonts w:ascii="Marianne" w:eastAsia="Arial" w:hAnsi="Marianne" w:cs="Arial"/>
          <w:sz w:val="20"/>
          <w:szCs w:val="20"/>
          <w:u w:val="single"/>
          <w:lang w:eastAsia="ja-JP"/>
        </w:rPr>
      </w:pPr>
      <w:r>
        <w:rPr>
          <w:rFonts w:ascii="Marianne" w:eastAsia="Arial" w:hAnsi="Marianne" w:cs="Arial"/>
          <w:sz w:val="20"/>
          <w:szCs w:val="20"/>
          <w:u w:val="single"/>
          <w:lang w:eastAsia="ja-JP"/>
        </w:rPr>
        <w:t>Nature des opérations réalisées sur les données :</w:t>
      </w:r>
    </w:p>
    <w:p>
      <w:pPr>
        <w:jc w:val="both"/>
        <w:rPr>
          <w:rFonts w:ascii="Marianne" w:hAnsi="Marianne" w:cstheme="minorHAnsi"/>
          <w:b/>
          <w:iCs/>
        </w:rPr>
      </w:pPr>
      <w:r>
        <w:rPr>
          <w:rFonts w:ascii="Marianne" w:hAnsi="Marianne" w:cstheme="minorHAnsi"/>
          <w:b/>
          <w:iCs/>
        </w:rPr>
        <w:t>Traduction partielle ou intégrale de documents concernant des personnes physiques ou morales dans le cadre de leurs relations avec l’administration fiscale et douanière.</w:t>
      </w:r>
    </w:p>
    <w:p>
      <w:pPr>
        <w:rPr>
          <w:rFonts w:ascii="Marianne" w:hAnsi="Marianne" w:cstheme="minorHAnsi"/>
          <w:b/>
          <w:i/>
        </w:rPr>
      </w:pPr>
    </w:p>
    <w:p>
      <w:pPr>
        <w:rPr>
          <w:rFonts w:ascii="Marianne" w:eastAsia="Arial" w:hAnsi="Marianne" w:cs="Arial"/>
          <w:sz w:val="20"/>
          <w:szCs w:val="20"/>
          <w:u w:val="single"/>
          <w:lang w:eastAsia="ja-JP"/>
        </w:rPr>
      </w:pPr>
      <w:r>
        <w:rPr>
          <w:rFonts w:ascii="Marianne" w:eastAsia="Arial" w:hAnsi="Marianne" w:cs="Arial"/>
          <w:sz w:val="20"/>
          <w:szCs w:val="20"/>
          <w:u w:val="single"/>
          <w:lang w:eastAsia="ja-JP"/>
        </w:rPr>
        <w:t>Finalité(s) du traitement :</w:t>
      </w:r>
    </w:p>
    <w:p>
      <w:pPr>
        <w:jc w:val="both"/>
        <w:rPr>
          <w:rFonts w:ascii="Marianne" w:hAnsi="Marianne" w:cstheme="minorHAnsi"/>
          <w:b/>
          <w:iCs/>
        </w:rPr>
      </w:pPr>
      <w:r>
        <w:rPr>
          <w:rFonts w:ascii="Marianne" w:hAnsi="Marianne" w:cstheme="minorHAnsi"/>
          <w:b/>
          <w:iCs/>
        </w:rPr>
        <w:t>La traduction des documents qui contiennent des données personnelles est réalisée à la demande d’agents de l’administration fiscale et douanière, pour les besoins du traitement de leurs dossiers (enquêtes, vérifications, recouvrement forcé, notamment).</w:t>
      </w:r>
    </w:p>
    <w:p>
      <w:pPr>
        <w:rPr>
          <w:rFonts w:ascii="Marianne" w:hAnsi="Marianne" w:cstheme="minorHAnsi"/>
        </w:rPr>
      </w:pPr>
    </w:p>
    <w:p>
      <w:pPr>
        <w:rPr>
          <w:rFonts w:ascii="Marianne" w:eastAsia="Arial" w:hAnsi="Marianne" w:cs="Arial"/>
          <w:sz w:val="20"/>
          <w:szCs w:val="20"/>
          <w:u w:val="single"/>
          <w:lang w:eastAsia="ja-JP"/>
        </w:rPr>
      </w:pPr>
      <w:r>
        <w:rPr>
          <w:rFonts w:ascii="Marianne" w:eastAsia="Arial" w:hAnsi="Marianne" w:cs="Arial"/>
          <w:sz w:val="20"/>
          <w:szCs w:val="20"/>
          <w:u w:val="single"/>
          <w:lang w:eastAsia="ja-JP"/>
        </w:rPr>
        <w:t xml:space="preserve">Catégories de données à caractère personnel traitées : </w:t>
      </w:r>
    </w:p>
    <w:p>
      <w:pPr>
        <w:rPr>
          <w:rFonts w:ascii="Marianne" w:hAnsi="Marianne"/>
          <w:i/>
        </w:rPr>
      </w:pPr>
      <w:r>
        <w:rPr>
          <w:rFonts w:ascii="Marianne" w:hAnsi="Marianne"/>
          <w:i/>
        </w:rPr>
        <w:t xml:space="preserve"> (</w:t>
      </w:r>
      <w:r>
        <w:rPr>
          <w:rFonts w:ascii="Marianne" w:hAnsi="Marianne" w:cstheme="minorHAnsi"/>
          <w:i/>
        </w:rPr>
        <w:t>Cocher les cases pertinentes</w:t>
      </w:r>
      <w:r>
        <w:rPr>
          <w:rFonts w:ascii="Marianne" w:hAnsi="Marianne"/>
          <w:i/>
        </w:rPr>
        <w:t>)</w:t>
      </w:r>
    </w:p>
    <w:p>
      <w:pPr>
        <w:rPr>
          <w:rFonts w:ascii="Marianne" w:hAnsi="Marianne"/>
        </w:rPr>
      </w:pPr>
      <w:sdt>
        <w:sdtPr>
          <w:rPr>
            <w:rFonts w:ascii="Marianne" w:hAnsi="Marianne"/>
          </w:rPr>
          <w:id w:val="-82890978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☒</w:t>
          </w:r>
        </w:sdtContent>
      </w:sdt>
      <w:r>
        <w:rPr>
          <w:rFonts w:ascii="Marianne" w:hAnsi="Marianne"/>
        </w:rPr>
        <w:t xml:space="preserve"> </w:t>
      </w:r>
      <w:r>
        <w:rPr>
          <w:rFonts w:ascii="Marianne" w:eastAsia="Arial" w:hAnsi="Marianne" w:cs="Arial"/>
          <w:sz w:val="20"/>
          <w:szCs w:val="20"/>
          <w:lang w:eastAsia="ja-JP"/>
        </w:rPr>
        <w:t>Etat civil, Identité, données d’identification</w:t>
      </w:r>
      <w:r>
        <w:rPr>
          <w:rFonts w:ascii="Marianne" w:hAnsi="Marianne"/>
        </w:rPr>
        <w:t xml:space="preserve"> </w:t>
      </w:r>
    </w:p>
    <w:p>
      <w:pPr>
        <w:rPr>
          <w:rFonts w:ascii="Marianne" w:hAnsi="Marianne"/>
        </w:rPr>
      </w:pPr>
      <w:sdt>
        <w:sdtPr>
          <w:rPr>
            <w:rFonts w:ascii="Marianne" w:hAnsi="Marianne"/>
          </w:rPr>
          <w:id w:val="-94877767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☒</w:t>
          </w:r>
        </w:sdtContent>
      </w:sdt>
      <w:r>
        <w:rPr>
          <w:rFonts w:ascii="Marianne" w:hAnsi="Marianne"/>
        </w:rPr>
        <w:t xml:space="preserve"> </w:t>
      </w:r>
      <w:r>
        <w:rPr>
          <w:rFonts w:ascii="Marianne" w:eastAsia="Arial" w:hAnsi="Marianne" w:cs="Arial"/>
          <w:sz w:val="20"/>
          <w:szCs w:val="20"/>
          <w:lang w:eastAsia="ja-JP"/>
        </w:rPr>
        <w:t>Vie personnelle (habitudes de vie, situation familiale, etc.)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hAnsi="Marianne"/>
          </w:rPr>
          <w:id w:val="83510982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☒</w:t>
          </w:r>
        </w:sdtContent>
      </w:sdt>
      <w:r>
        <w:rPr>
          <w:rFonts w:ascii="Marianne" w:hAnsi="Marianne"/>
        </w:rPr>
        <w:t xml:space="preserve"> </w:t>
      </w:r>
      <w:r>
        <w:rPr>
          <w:rFonts w:ascii="Marianne" w:eastAsia="Arial" w:hAnsi="Marianne" w:cs="Arial"/>
          <w:sz w:val="20"/>
          <w:szCs w:val="20"/>
          <w:lang w:eastAsia="ja-JP"/>
        </w:rPr>
        <w:t>Vie professionnelle (CV, adresse mail professionnelle, formation professionnelle, parcours académique, etc.)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165255133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  <w:lang w:eastAsia="ja-JP"/>
            </w:rPr>
            <w:t>☒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Informations d’ordre économique et financier (revenus, situation financière, situation fiscale, etc.)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387614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de connexion (adresse IP, journaux de connexion, etc.)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6232756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de localisation (déplacements, données GPS, GSM, etc.)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183406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Autre : </w:t>
      </w:r>
      <w:bookmarkStart w:id="0" w:name="_Hlk152251181"/>
      <w:r>
        <w:rPr>
          <w:rFonts w:ascii="Marianne" w:eastAsia="Arial" w:hAnsi="Marianne" w:cs="Arial"/>
          <w:i/>
          <w:iCs/>
          <w:sz w:val="20"/>
          <w:szCs w:val="20"/>
          <w:lang w:eastAsia="ja-JP"/>
        </w:rPr>
        <w:t>à préciser</w:t>
      </w:r>
      <w:bookmarkEnd w:id="0"/>
    </w:p>
    <w:p>
      <w:pPr>
        <w:rPr>
          <w:rFonts w:ascii="Marianne" w:hAnsi="Marianne"/>
        </w:rPr>
      </w:pPr>
    </w:p>
    <w:p>
      <w:pPr>
        <w:rPr>
          <w:rFonts w:ascii="Marianne" w:eastAsia="Arial" w:hAnsi="Marianne" w:cs="Arial"/>
          <w:sz w:val="20"/>
          <w:szCs w:val="20"/>
          <w:u w:val="single"/>
          <w:lang w:eastAsia="ja-JP"/>
        </w:rPr>
      </w:pPr>
      <w:r>
        <w:rPr>
          <w:rFonts w:ascii="Marianne" w:eastAsia="Arial" w:hAnsi="Marianne" w:cs="Arial"/>
          <w:sz w:val="20"/>
          <w:szCs w:val="20"/>
          <w:u w:val="single"/>
          <w:lang w:eastAsia="ja-JP"/>
        </w:rPr>
        <w:t xml:space="preserve">Si des données sensibles font également l’objet d’un traitement : 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r>
        <w:rPr>
          <w:rFonts w:ascii="Marianne" w:hAnsi="Marianne" w:cstheme="minorHAnsi"/>
        </w:rPr>
        <w:t>(</w:t>
      </w:r>
      <w:r>
        <w:rPr>
          <w:rFonts w:ascii="Marianne" w:eastAsia="Arial" w:hAnsi="Marianne" w:cs="Arial"/>
          <w:sz w:val="20"/>
          <w:szCs w:val="20"/>
          <w:lang w:eastAsia="ja-JP"/>
        </w:rPr>
        <w:t>Cocher les cases pertinentes)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735743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révélant l’origine raciale ou ethnique 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136229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révélant les opinions politiques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11317536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révélant les convictions religieuses ou philosophiques 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205613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révélant l’appartenance syndicale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-2005272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génétiques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-576525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biométriques 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-109918020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  <w:lang w:eastAsia="ja-JP"/>
            </w:rPr>
            <w:t>☒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concernant la santé 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6868702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Le numéro de sécurité sociale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20087831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concernant la vie ou l’orientation sexuelle 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-190961113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  <w:lang w:eastAsia="ja-JP"/>
            </w:rPr>
            <w:t>☒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Données relatives aux condamnations pénales et aux infractions ou aux mesures de sûreté connexes </w:t>
      </w:r>
    </w:p>
    <w:p>
      <w:pPr>
        <w:rPr>
          <w:rFonts w:ascii="Marianne" w:hAnsi="Marianne"/>
        </w:rPr>
      </w:pPr>
    </w:p>
    <w:p>
      <w:pPr>
        <w:rPr>
          <w:rFonts w:ascii="Marianne" w:eastAsia="Arial" w:hAnsi="Marianne" w:cs="Arial"/>
          <w:sz w:val="20"/>
          <w:szCs w:val="20"/>
          <w:u w:val="single"/>
          <w:lang w:eastAsia="ja-JP"/>
        </w:rPr>
      </w:pPr>
      <w:r>
        <w:rPr>
          <w:rFonts w:ascii="Marianne" w:eastAsia="Arial" w:hAnsi="Marianne" w:cs="Arial"/>
          <w:sz w:val="20"/>
          <w:szCs w:val="20"/>
          <w:u w:val="single"/>
          <w:lang w:eastAsia="ja-JP"/>
        </w:rPr>
        <w:t>Catégories de personnes concernées :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r>
        <w:rPr>
          <w:rFonts w:ascii="Marianne" w:eastAsia="Arial" w:hAnsi="Marianne" w:cs="Arial"/>
          <w:sz w:val="20"/>
          <w:szCs w:val="20"/>
          <w:lang w:eastAsia="ja-JP"/>
        </w:rPr>
        <w:t>(Cocher les cases pertinentes)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51117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Agents titulaires ou contractuels 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1387607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Stagiaires ou apprentis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418224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Candidats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123003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Fournisseurs et prestataires 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-551997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Visiteurs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-938221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Arial" w:hAnsi="Segoe UI Symbol" w:cs="Segoe UI Symbol"/>
              <w:sz w:val="20"/>
              <w:szCs w:val="20"/>
              <w:lang w:eastAsia="ja-JP"/>
            </w:rPr>
            <w:t>☐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Partenaires 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  <w:sdt>
        <w:sdtPr>
          <w:rPr>
            <w:rFonts w:ascii="Marianne" w:eastAsia="Arial" w:hAnsi="Marianne" w:cs="Arial"/>
            <w:sz w:val="20"/>
            <w:szCs w:val="20"/>
            <w:lang w:eastAsia="ja-JP"/>
          </w:rPr>
          <w:id w:val="-114064631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  <w:lang w:eastAsia="ja-JP"/>
            </w:rPr>
            <w:t>☒</w:t>
          </w:r>
        </w:sdtContent>
      </w:sdt>
      <w:r>
        <w:rPr>
          <w:rFonts w:ascii="Marianne" w:eastAsia="Arial" w:hAnsi="Marianne" w:cs="Arial"/>
          <w:sz w:val="20"/>
          <w:szCs w:val="20"/>
          <w:lang w:eastAsia="ja-JP"/>
        </w:rPr>
        <w:t xml:space="preserve"> Autres : </w:t>
      </w:r>
      <w:r>
        <w:rPr>
          <w:rFonts w:ascii="Marianne" w:eastAsia="Arial" w:hAnsi="Marianne" w:cs="Arial"/>
          <w:i/>
          <w:iCs/>
          <w:sz w:val="20"/>
          <w:szCs w:val="20"/>
          <w:lang w:eastAsia="ja-JP"/>
        </w:rPr>
        <w:t>Personnes physiques ou morales en relation avec l’administration fiscale et douanière</w:t>
      </w:r>
    </w:p>
    <w:p>
      <w:pPr>
        <w:rPr>
          <w:rFonts w:ascii="Marianne" w:eastAsia="Arial" w:hAnsi="Marianne" w:cs="Arial"/>
          <w:sz w:val="20"/>
          <w:szCs w:val="20"/>
          <w:lang w:eastAsia="ja-JP"/>
        </w:rPr>
      </w:pPr>
    </w:p>
    <w:p>
      <w:pPr>
        <w:rPr>
          <w:rFonts w:ascii="Marianne" w:eastAsia="Arial" w:hAnsi="Marianne" w:cs="Arial"/>
          <w:sz w:val="20"/>
          <w:szCs w:val="20"/>
          <w:u w:val="single"/>
          <w:lang w:eastAsia="ja-JP"/>
        </w:rPr>
      </w:pPr>
      <w:r>
        <w:rPr>
          <w:rFonts w:ascii="Marianne" w:eastAsia="Arial" w:hAnsi="Marianne" w:cs="Arial"/>
          <w:sz w:val="20"/>
          <w:szCs w:val="20"/>
          <w:u w:val="single"/>
          <w:lang w:eastAsia="ja-JP"/>
        </w:rPr>
        <w:br w:type="page"/>
      </w:r>
    </w:p>
    <w:p>
      <w:pPr>
        <w:rPr>
          <w:rFonts w:ascii="Marianne" w:eastAsia="Arial" w:hAnsi="Marianne" w:cs="Arial"/>
          <w:sz w:val="20"/>
          <w:szCs w:val="20"/>
          <w:u w:val="single"/>
          <w:lang w:eastAsia="ja-JP"/>
        </w:rPr>
      </w:pPr>
      <w:r>
        <w:rPr>
          <w:rFonts w:ascii="Marianne" w:eastAsia="Arial" w:hAnsi="Marianne" w:cs="Arial"/>
          <w:sz w:val="20"/>
          <w:szCs w:val="20"/>
          <w:u w:val="single"/>
          <w:lang w:eastAsia="ja-JP"/>
        </w:rPr>
        <w:lastRenderedPageBreak/>
        <w:t xml:space="preserve">Durées de conservation des données : </w:t>
      </w:r>
    </w:p>
    <w:p>
      <w:pPr>
        <w:rPr>
          <w:rFonts w:ascii="Marianne" w:eastAsia="Arial" w:hAnsi="Marianne" w:cs="Arial"/>
          <w:i/>
          <w:iCs/>
          <w:sz w:val="20"/>
          <w:szCs w:val="20"/>
          <w:lang w:eastAsia="ja-JP"/>
        </w:rPr>
      </w:pPr>
      <w:r>
        <w:rPr>
          <w:rFonts w:ascii="Marianne" w:eastAsia="Arial" w:hAnsi="Marianne" w:cs="Arial"/>
          <w:i/>
          <w:iCs/>
          <w:sz w:val="20"/>
          <w:szCs w:val="20"/>
          <w:lang w:eastAsia="ja-JP"/>
        </w:rPr>
        <w:t>Cycle de vie des données :</w:t>
      </w:r>
    </w:p>
    <w:p>
      <w:pPr>
        <w:rPr>
          <w:rFonts w:ascii="Marianne" w:hAnsi="Marianne"/>
          <w:i/>
        </w:rPr>
      </w:pPr>
      <w:r>
        <w:rPr>
          <w:noProof/>
        </w:rPr>
        <w:drawing>
          <wp:inline distT="0" distB="0" distL="0" distR="0">
            <wp:extent cx="5760720" cy="646493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6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Marianne" w:eastAsia="Arial" w:hAnsi="Marianne" w:cs="Arial"/>
          <w:sz w:val="20"/>
          <w:szCs w:val="20"/>
          <w:u w:val="single"/>
          <w:lang w:eastAsia="ja-JP"/>
        </w:rPr>
      </w:pPr>
      <w:r>
        <w:rPr>
          <w:rFonts w:ascii="Marianne" w:eastAsia="Arial" w:hAnsi="Marianne" w:cs="Arial"/>
          <w:sz w:val="20"/>
          <w:szCs w:val="20"/>
          <w:u w:val="single"/>
          <w:lang w:eastAsia="ja-JP"/>
        </w:rPr>
        <w:t>Point de contact :</w:t>
      </w:r>
    </w:p>
    <w:p>
      <w:pPr>
        <w:rPr>
          <w:rFonts w:ascii="Marianne" w:eastAsia="Arial" w:hAnsi="Marianne" w:cs="Arial"/>
          <w:i/>
          <w:iCs/>
          <w:sz w:val="20"/>
          <w:szCs w:val="20"/>
          <w:lang w:eastAsia="ja-JP"/>
        </w:rPr>
      </w:pPr>
      <w:r>
        <w:rPr>
          <w:rFonts w:ascii="Marianne" w:eastAsia="Arial" w:hAnsi="Marianne" w:cs="Arial"/>
          <w:i/>
          <w:iCs/>
          <w:sz w:val="20"/>
          <w:szCs w:val="20"/>
          <w:lang w:eastAsia="ja-JP"/>
        </w:rPr>
        <w:t xml:space="preserve">Le cas échéant, coordonnées du délégué à la protection des données (DP) des titulaires du marché : </w:t>
      </w:r>
    </w:p>
    <w:p>
      <w:pPr>
        <w:rPr>
          <w:rFonts w:ascii="Marianne" w:eastAsia="Arial" w:hAnsi="Marianne" w:cs="Arial"/>
          <w:i/>
          <w:iCs/>
          <w:sz w:val="20"/>
          <w:szCs w:val="20"/>
          <w:lang w:eastAsia="ja-JP"/>
        </w:rPr>
      </w:pPr>
      <w:commentRangeStart w:id="1"/>
      <w:commentRangeEnd w:id="1"/>
      <w:r>
        <w:rPr>
          <w:rStyle w:val="Marquedecommentaire"/>
        </w:rPr>
        <w:commentReference w:id="1"/>
      </w:r>
    </w:p>
    <w:p>
      <w:pPr>
        <w:rPr>
          <w:rFonts w:ascii="Marianne" w:hAnsi="Marianne"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PAPILIYA-BELABBAS Tanina" w:date="2024-07-24T16:16:00Z" w:initials="PBT">
    <w:p>
      <w:pPr>
        <w:pStyle w:val="Commentaire"/>
      </w:pPr>
      <w:r>
        <w:rPr>
          <w:rStyle w:val="Marquedecommentaire"/>
        </w:rPr>
        <w:annotationRef/>
      </w:r>
      <w:r>
        <w:t>A compléter par le candidat</w:t>
      </w:r>
    </w:p>
  </w:comment>
</w:comment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D0C49"/>
    <w:multiLevelType w:val="hybridMultilevel"/>
    <w:tmpl w:val="E17036B2"/>
    <w:lvl w:ilvl="0" w:tplc="89F03BC6">
      <w:start w:val="5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C7B2E9A"/>
    <w:multiLevelType w:val="hybridMultilevel"/>
    <w:tmpl w:val="EADA5C92"/>
    <w:lvl w:ilvl="0" w:tplc="0DD295D2">
      <w:numFmt w:val="bullet"/>
      <w:lvlText w:val="−"/>
      <w:lvlJc w:val="left"/>
      <w:pPr>
        <w:ind w:left="913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2" w15:restartNumberingAfterBreak="0">
    <w:nsid w:val="5F7018E8"/>
    <w:multiLevelType w:val="hybridMultilevel"/>
    <w:tmpl w:val="AF189B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60139"/>
    <w:multiLevelType w:val="hybridMultilevel"/>
    <w:tmpl w:val="2160DDE4"/>
    <w:lvl w:ilvl="0" w:tplc="0DD295D2">
      <w:numFmt w:val="bullet"/>
      <w:lvlText w:val="−"/>
      <w:lvlJc w:val="left"/>
      <w:pPr>
        <w:ind w:left="862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PILIYA-BELABBAS Tanina">
    <w15:presenceInfo w15:providerId="AD" w15:userId="S-1-5-21-2043104406-512064258-1538882281-2205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14EBA1E-8526-46D3-A1E0-2E6D45C8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pPr>
      <w:keepNext/>
      <w:widowControl w:val="0"/>
      <w:suppressAutoHyphens/>
      <w:autoSpaceDN w:val="0"/>
      <w:spacing w:before="240" w:after="60" w:line="240" w:lineRule="auto"/>
      <w:ind w:left="-283" w:firstLine="283"/>
      <w:jc w:val="both"/>
      <w:textAlignment w:val="center"/>
      <w:outlineLvl w:val="1"/>
    </w:pPr>
    <w:rPr>
      <w:rFonts w:ascii="Marianne" w:eastAsia="Arial" w:hAnsi="Marianne" w:cs="Arial"/>
      <w:b/>
      <w:bCs/>
      <w:i/>
      <w:iCs/>
      <w:kern w:val="3"/>
      <w:sz w:val="28"/>
      <w:szCs w:val="28"/>
      <w:lang w:eastAsia="ja-JP" w:bidi="fa-I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widowControl w:val="0"/>
      <w:spacing w:before="40" w:after="0" w:line="360" w:lineRule="auto"/>
      <w:ind w:left="510"/>
      <w:outlineLvl w:val="2"/>
    </w:pPr>
    <w:rPr>
      <w:rFonts w:ascii="Arial" w:eastAsiaTheme="majorEastAsia" w:hAnsi="Arial" w:cstheme="majorBidi"/>
      <w:b/>
      <w:color w:val="2E74B5" w:themeColor="accent1" w:themeShade="B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 numérotée"/>
    <w:basedOn w:val="Normal"/>
    <w:uiPriority w:val="34"/>
    <w:qFormat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Sous-titre">
    <w:name w:val="Subtitle"/>
    <w:basedOn w:val="Normal"/>
    <w:link w:val="Sous-titreCar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120" w:after="0" w:line="240" w:lineRule="auto"/>
      <w:ind w:left="900" w:right="457"/>
      <w:jc w:val="center"/>
    </w:pPr>
    <w:rPr>
      <w:rFonts w:ascii="Times New Roman" w:eastAsia="Times New Roman" w:hAnsi="Times New Roman" w:cs="Times New Roman"/>
      <w:b/>
      <w:bCs/>
      <w:smallCaps/>
      <w:sz w:val="48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Pr>
      <w:rFonts w:ascii="Times New Roman" w:eastAsia="Times New Roman" w:hAnsi="Times New Roman" w:cs="Times New Roman"/>
      <w:b/>
      <w:bCs/>
      <w:smallCaps/>
      <w:sz w:val="48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Theme="majorEastAsia" w:hAnsi="Arial" w:cstheme="majorBidi"/>
      <w:b/>
      <w:color w:val="2E74B5" w:themeColor="accent1" w:themeShade="BF"/>
      <w:szCs w:val="24"/>
    </w:rPr>
  </w:style>
  <w:style w:type="character" w:customStyle="1" w:styleId="Titre2Car">
    <w:name w:val="Titre 2 Car"/>
    <w:basedOn w:val="Policepardfaut"/>
    <w:link w:val="Titre2"/>
    <w:rPr>
      <w:rFonts w:ascii="Marianne" w:eastAsia="Arial" w:hAnsi="Marianne" w:cs="Arial"/>
      <w:b/>
      <w:bCs/>
      <w:i/>
      <w:iCs/>
      <w:kern w:val="3"/>
      <w:sz w:val="28"/>
      <w:szCs w:val="28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368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d'Etat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RAKOTOVAO Iangotiana</dc:creator>
  <cp:keywords/>
  <dc:description/>
  <cp:lastModifiedBy>PAPILIYA-BELABBAS Tanina</cp:lastModifiedBy>
  <cp:revision>5</cp:revision>
  <dcterms:created xsi:type="dcterms:W3CDTF">2024-05-23T13:03:00Z</dcterms:created>
  <dcterms:modified xsi:type="dcterms:W3CDTF">2025-06-18T16:06:00Z</dcterms:modified>
</cp:coreProperties>
</file>